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3DCF6E54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665ACE">
        <w:rPr>
          <w:rFonts w:cstheme="majorHAnsi"/>
          <w:b/>
          <w:bCs/>
          <w:color w:val="auto"/>
        </w:rPr>
        <w:t>Narutowicza 19/Sienkiewicza 15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665ACE">
        <w:rPr>
          <w:rFonts w:cstheme="majorHAnsi"/>
          <w:b/>
          <w:bCs/>
          <w:color w:val="auto"/>
        </w:rPr>
        <w:t>3,05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3C149E9D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65ACE">
        <w:rPr>
          <w:rFonts w:asciiTheme="majorHAnsi" w:hAnsiTheme="majorHAnsi" w:cstheme="majorHAnsi"/>
          <w:sz w:val="24"/>
          <w:szCs w:val="24"/>
        </w:rPr>
        <w:t>08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665ACE">
        <w:rPr>
          <w:rFonts w:asciiTheme="majorHAnsi" w:hAnsiTheme="majorHAnsi" w:cstheme="majorHAnsi"/>
          <w:sz w:val="24"/>
          <w:szCs w:val="24"/>
        </w:rPr>
        <w:t>września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10521B">
        <w:rPr>
          <w:rFonts w:asciiTheme="majorHAnsi" w:hAnsiTheme="majorHAnsi" w:cstheme="majorHAnsi"/>
          <w:sz w:val="24"/>
          <w:szCs w:val="24"/>
        </w:rPr>
        <w:t>2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665ACE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B, świetlica.</w:t>
      </w:r>
    </w:p>
    <w:p w14:paraId="3E7E03D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Postanowienia ogólne</w:t>
      </w:r>
    </w:p>
    <w:p w14:paraId="03672C46" w14:textId="61A9B053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0521B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 o powierzchni 1</w:t>
      </w:r>
      <w:r w:rsidR="00665ACE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po umowie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na cel: przechowywanie samochodu lub innego pojazdu mechanicznego na przykład motocykla,</w:t>
      </w:r>
    </w:p>
    <w:p w14:paraId="014A1E5B" w14:textId="565E466E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20D878BB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4FD0AD1B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10521B">
        <w:rPr>
          <w:rFonts w:asciiTheme="majorHAnsi" w:hAnsiTheme="majorHAnsi" w:cstheme="majorHAnsi"/>
          <w:sz w:val="24"/>
          <w:szCs w:val="24"/>
        </w:rPr>
        <w:t>7</w:t>
      </w:r>
      <w:r w:rsidR="00601986">
        <w:rPr>
          <w:rFonts w:asciiTheme="majorHAnsi" w:hAnsiTheme="majorHAnsi" w:cstheme="majorHAnsi"/>
          <w:sz w:val="24"/>
          <w:szCs w:val="24"/>
        </w:rPr>
        <w:t>8,30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Warunki i zasady uczestnictwa w przetargu:</w:t>
      </w:r>
    </w:p>
    <w:p w14:paraId="4182048D" w14:textId="5763EDE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10521B">
        <w:rPr>
          <w:rFonts w:asciiTheme="majorHAnsi" w:hAnsiTheme="majorHAnsi" w:cstheme="majorHAnsi"/>
          <w:sz w:val="24"/>
          <w:szCs w:val="24"/>
        </w:rPr>
        <w:t>7</w:t>
      </w:r>
      <w:r w:rsidR="00601986">
        <w:rPr>
          <w:rFonts w:asciiTheme="majorHAnsi" w:hAnsiTheme="majorHAnsi" w:cstheme="majorHAnsi"/>
          <w:sz w:val="24"/>
          <w:szCs w:val="24"/>
        </w:rPr>
        <w:t>8,30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 xml:space="preserve">siedemdziesiąt </w:t>
      </w:r>
      <w:r w:rsidR="00601986">
        <w:rPr>
          <w:rFonts w:asciiTheme="majorHAnsi" w:hAnsiTheme="majorHAnsi" w:cstheme="majorHAnsi"/>
          <w:sz w:val="24"/>
          <w:szCs w:val="24"/>
        </w:rPr>
        <w:t xml:space="preserve">osiem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601986">
        <w:rPr>
          <w:rFonts w:asciiTheme="majorHAnsi" w:hAnsiTheme="majorHAnsi" w:cstheme="majorHAnsi"/>
          <w:sz w:val="24"/>
          <w:szCs w:val="24"/>
        </w:rPr>
        <w:t>3</w:t>
      </w:r>
      <w:r w:rsidR="0010521B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69E17F2E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601986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3246231D" w:rsidR="00910451" w:rsidRPr="00E80C1D" w:rsidRDefault="00910451" w:rsidP="00E80C1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110932650"/>
      <w:r w:rsidRPr="00E80C1D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E80C1D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</w:t>
      </w:r>
      <w:r w:rsidR="00601986" w:rsidRPr="00E80C1D">
        <w:rPr>
          <w:rFonts w:asciiTheme="majorHAnsi" w:hAnsiTheme="majorHAnsi" w:cstheme="majorHAnsi"/>
          <w:sz w:val="24"/>
          <w:szCs w:val="24"/>
        </w:rPr>
        <w:t xml:space="preserve"> </w:t>
      </w:r>
      <w:r w:rsidRPr="00E80C1D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601986" w:rsidRPr="00E80C1D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C4079E" w:rsidRPr="00E80C1D">
        <w:rPr>
          <w:rFonts w:asciiTheme="majorHAnsi" w:hAnsiTheme="majorHAnsi" w:cstheme="majorHAnsi"/>
          <w:sz w:val="24"/>
          <w:szCs w:val="24"/>
        </w:rPr>
        <w:t xml:space="preserve"> Informacji udziela się również telefonicznie pod numerem telefonu 44/732-70-63.</w:t>
      </w:r>
    </w:p>
    <w:p w14:paraId="1F01733A" w14:textId="4798311F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bookmarkStart w:id="1" w:name="_Hlk110932710"/>
      <w:bookmarkEnd w:id="0"/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4C5363" w:rsidRPr="00FE5A29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4C5363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bookmarkEnd w:id="1"/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386408"/>
    <w:multiLevelType w:val="hybridMultilevel"/>
    <w:tmpl w:val="9ADE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25A"/>
    <w:multiLevelType w:val="hybridMultilevel"/>
    <w:tmpl w:val="8A1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8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10"/>
  </w:num>
  <w:num w:numId="6" w16cid:durableId="1128595847">
    <w:abstractNumId w:val="9"/>
  </w:num>
  <w:num w:numId="7" w16cid:durableId="223490202">
    <w:abstractNumId w:val="11"/>
  </w:num>
  <w:num w:numId="8" w16cid:durableId="1474634633">
    <w:abstractNumId w:val="0"/>
  </w:num>
  <w:num w:numId="9" w16cid:durableId="608699762">
    <w:abstractNumId w:val="13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2"/>
  </w:num>
  <w:num w:numId="13" w16cid:durableId="949169490">
    <w:abstractNumId w:val="2"/>
  </w:num>
  <w:num w:numId="14" w16cid:durableId="90047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4C5363"/>
    <w:rsid w:val="00601986"/>
    <w:rsid w:val="00665ACE"/>
    <w:rsid w:val="007B08F3"/>
    <w:rsid w:val="00910451"/>
    <w:rsid w:val="00982956"/>
    <w:rsid w:val="00B81CF9"/>
    <w:rsid w:val="00C4079E"/>
    <w:rsid w:val="00E80C1D"/>
    <w:rsid w:val="00E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 najem_lokalu_uzytkowego</dc:title>
  <dc:subject/>
  <dc:creator>Hanna Komar</dc:creator>
  <cp:keywords/>
  <dc:description/>
  <cp:lastModifiedBy>Hanna Komar</cp:lastModifiedBy>
  <cp:revision>7</cp:revision>
  <dcterms:created xsi:type="dcterms:W3CDTF">2022-02-11T13:13:00Z</dcterms:created>
  <dcterms:modified xsi:type="dcterms:W3CDTF">2022-08-09T09:41:00Z</dcterms:modified>
</cp:coreProperties>
</file>